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1" w:rsidRPr="00C67851" w:rsidRDefault="00C67851" w:rsidP="00C67851">
      <w:pPr>
        <w:spacing w:after="0"/>
        <w:rPr>
          <w:sz w:val="28"/>
          <w:szCs w:val="28"/>
          <w:lang w:val="uk-UA"/>
        </w:rPr>
      </w:pPr>
      <w:r w:rsidRPr="00C67851">
        <w:rPr>
          <w:sz w:val="28"/>
          <w:szCs w:val="28"/>
          <w:lang w:val="uk-UA"/>
        </w:rPr>
        <w:t>Оскільки Товариство, на загальних зборах акціонерів, не приймало рішення щодо додаткової емісії цінних паперів шляхом приватного розміщення, тому  у акціонерів  не  було  можливості  реалізації  переважного права.</w:t>
      </w:r>
    </w:p>
    <w:p w:rsidR="00873064" w:rsidRDefault="00873064"/>
    <w:sectPr w:rsidR="00873064" w:rsidSect="0087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851"/>
    <w:rsid w:val="00873064"/>
    <w:rsid w:val="00C6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2015-11-03T13:31:00Z</dcterms:created>
  <dcterms:modified xsi:type="dcterms:W3CDTF">2015-11-03T13:31:00Z</dcterms:modified>
</cp:coreProperties>
</file>